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tbl>
      <w:tblPr>
        <w:tblStyle w:val="4"/>
        <w:tblW w:w="13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1065"/>
        <w:gridCol w:w="1364"/>
        <w:gridCol w:w="939"/>
        <w:gridCol w:w="3073"/>
        <w:gridCol w:w="50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2020年博望区引进医疗卫生人才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引进单位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人才层次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引进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基本要求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其它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马鞍山市博望区人民医院（马鞍山市人民医院博望分院）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药剂科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药学专业学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带头人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符合上述学科带头人基本要求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年龄50周岁以下，副主任及以上职称，具有“三甲”医院从事本专业工作经历十年以上。在该领域具备一定影响力，为该领域省级及以上协会、组织成员者优先。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影像科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医学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影像专业学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带头人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符合上述学科带头人基本要求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年龄55周岁以下，主治及以上职称，具有“三甲”医院从事本专业工作经历十年以上。在该领域具备一定影响力，为该领域省级及以上协会、组织成员者优先。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口腔专业学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带头人后备人选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符合上述学科带头人后备人选基本要求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年龄35周岁以下，具有“三甲”医院从事本专业工作经历五年以上，专业型硕士研究生优先。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B6876"/>
    <w:rsid w:val="3CC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2020-12-22T03:31:00Z</dcterms:created>
  <dc:creator>崔爱民</dc:creator>
  <cp:lastModifiedBy>崔爱民</cp:lastModifiedBy>
  <dcterms:modified xsi:type="dcterms:W3CDTF">2020-12-22T03:32:24Z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